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eastAsia="宋体" w:hint="eastAsia"/>
          <w:b/>
          <w:bCs/>
          <w:sz w:val="24"/>
          <w:szCs w:val="24"/>
          <w:lang w:eastAsia="zh-CN"/>
        </w:rPr>
      </w:pPr>
      <w:r>
        <w:rPr>
          <w:rFonts w:hint="eastAsia"/>
          <w:b/>
          <w:bCs/>
          <w:sz w:val="24"/>
          <w:szCs w:val="24"/>
          <w:lang w:val="en-US" w:eastAsia="zh-CN"/>
        </w:rPr>
        <w:t>文法</w:t>
      </w:r>
      <w:r>
        <w:rPr>
          <w:rFonts w:hint="eastAsia"/>
          <w:b/>
          <w:bCs/>
          <w:sz w:val="24"/>
          <w:szCs w:val="24"/>
        </w:rPr>
        <w:t>学院2020年硕士研究生复试与录取工作方案</w:t>
      </w:r>
    </w:p>
    <w:p>
      <w:pPr>
        <w:pStyle w:val="style0"/>
        <w:spacing w:lineRule="auto" w:line="360"/>
        <w:rPr>
          <w:rFonts w:hint="eastAsia"/>
          <w:sz w:val="24"/>
          <w:szCs w:val="24"/>
        </w:rPr>
      </w:pPr>
    </w:p>
    <w:p>
      <w:pPr>
        <w:pStyle w:val="style0"/>
        <w:spacing w:lineRule="auto" w:line="360"/>
        <w:ind w:firstLine="480" w:firstLineChars="200"/>
        <w:rPr>
          <w:rFonts w:hint="eastAsia"/>
          <w:sz w:val="24"/>
          <w:szCs w:val="24"/>
        </w:rPr>
      </w:pPr>
      <w:r>
        <w:rPr>
          <w:rFonts w:hint="eastAsia"/>
          <w:sz w:val="24"/>
          <w:szCs w:val="24"/>
        </w:rPr>
        <w:t>根据《河南</w:t>
      </w:r>
      <w:r>
        <w:rPr>
          <w:rFonts w:hint="eastAsia"/>
          <w:sz w:val="24"/>
          <w:szCs w:val="24"/>
          <w:lang w:val="en-US" w:eastAsia="zh-CN"/>
        </w:rPr>
        <w:t>农业</w:t>
      </w:r>
      <w:r>
        <w:rPr>
          <w:rFonts w:hint="eastAsia"/>
          <w:sz w:val="24"/>
          <w:szCs w:val="24"/>
        </w:rPr>
        <w:t>大学 2020 年硕士研究生复试与录取工作方案》等文件要求，依据“按需招生、全面衡量、择优录取和宁缺毋滥”的原则，结合疫情防控相关要求和我院研究生招生工作实际，</w:t>
      </w:r>
      <w:r>
        <w:rPr>
          <w:rFonts w:hint="eastAsia"/>
          <w:sz w:val="24"/>
          <w:szCs w:val="24"/>
          <w:lang w:val="en-US" w:eastAsia="zh-CN"/>
        </w:rPr>
        <w:t>在确保安全性、公平性和科学性的基础上，</w:t>
      </w:r>
      <w:r>
        <w:rPr>
          <w:rFonts w:hint="eastAsia"/>
          <w:sz w:val="24"/>
          <w:szCs w:val="24"/>
        </w:rPr>
        <w:t>制订我院硕士研究生复试与录取工作具体实施方案。</w:t>
      </w:r>
    </w:p>
    <w:p>
      <w:pPr>
        <w:pStyle w:val="style0"/>
        <w:spacing w:lineRule="auto" w:line="360"/>
        <w:ind w:firstLine="482" w:firstLineChars="200"/>
        <w:rPr>
          <w:rFonts w:eastAsia="宋体" w:hint="default"/>
          <w:b/>
          <w:bCs/>
          <w:sz w:val="24"/>
          <w:szCs w:val="24"/>
          <w:lang w:val="en-US" w:eastAsia="zh-CN"/>
        </w:rPr>
      </w:pPr>
      <w:r>
        <w:rPr>
          <w:rFonts w:hint="eastAsia"/>
          <w:b/>
          <w:bCs/>
          <w:sz w:val="24"/>
          <w:szCs w:val="24"/>
          <w:lang w:val="en-US" w:eastAsia="zh-CN"/>
        </w:rPr>
        <w:t>一、组织管理</w:t>
      </w:r>
    </w:p>
    <w:p>
      <w:pPr>
        <w:pStyle w:val="style0"/>
        <w:spacing w:lineRule="auto" w:line="360"/>
        <w:ind w:firstLine="480" w:firstLineChars="200"/>
        <w:rPr>
          <w:rFonts w:hint="eastAsia"/>
          <w:sz w:val="24"/>
          <w:szCs w:val="24"/>
        </w:rPr>
      </w:pPr>
      <w:r>
        <w:rPr>
          <w:rFonts w:hint="eastAsia"/>
          <w:sz w:val="24"/>
          <w:szCs w:val="24"/>
        </w:rPr>
        <w:t>学院在学校研究生招生工作领导小组指导下</w:t>
      </w:r>
      <w:r>
        <w:rPr>
          <w:rFonts w:hint="eastAsia"/>
          <w:sz w:val="24"/>
          <w:szCs w:val="24"/>
          <w:lang w:eastAsia="zh-CN"/>
        </w:rPr>
        <w:t>，</w:t>
      </w:r>
      <w:r>
        <w:rPr>
          <w:rFonts w:hint="eastAsia"/>
          <w:sz w:val="24"/>
          <w:szCs w:val="24"/>
        </w:rPr>
        <w:t>进行研究生复试录取工作</w:t>
      </w:r>
      <w:r>
        <w:rPr>
          <w:rFonts w:hint="eastAsia"/>
          <w:sz w:val="24"/>
          <w:szCs w:val="24"/>
          <w:lang w:eastAsia="zh-CN"/>
        </w:rPr>
        <w:t>。</w:t>
      </w:r>
      <w:r>
        <w:rPr>
          <w:rFonts w:hint="eastAsia"/>
          <w:sz w:val="24"/>
          <w:szCs w:val="24"/>
        </w:rPr>
        <w:t>成立本单位</w:t>
      </w:r>
      <w:r>
        <w:rPr>
          <w:rFonts w:hint="eastAsia"/>
          <w:sz w:val="24"/>
          <w:szCs w:val="24"/>
          <w:lang w:val="en-US" w:eastAsia="zh-CN"/>
        </w:rPr>
        <w:t>研究生复试录取工作领导小组、监督小组</w:t>
      </w:r>
      <w:r>
        <w:rPr>
          <w:rFonts w:hint="eastAsia"/>
          <w:sz w:val="24"/>
          <w:szCs w:val="24"/>
        </w:rPr>
        <w:t>和</w:t>
      </w:r>
      <w:r>
        <w:rPr>
          <w:rFonts w:hint="eastAsia"/>
          <w:sz w:val="24"/>
          <w:szCs w:val="24"/>
          <w:lang w:val="en-US" w:eastAsia="zh-CN"/>
        </w:rPr>
        <w:t>复试专家小组，具体负责复试录取的领导、组织实施与监督</w:t>
      </w:r>
      <w:r>
        <w:rPr>
          <w:rFonts w:hint="eastAsia"/>
          <w:sz w:val="24"/>
          <w:szCs w:val="24"/>
        </w:rPr>
        <w:t>。</w:t>
      </w:r>
    </w:p>
    <w:p>
      <w:pPr>
        <w:pStyle w:val="style0"/>
        <w:spacing w:lineRule="auto" w:line="360"/>
        <w:ind w:firstLine="480" w:firstLineChars="200"/>
        <w:rPr>
          <w:rFonts w:hint="eastAsia"/>
          <w:sz w:val="24"/>
          <w:szCs w:val="24"/>
          <w:lang w:val="en-US" w:eastAsia="zh-CN"/>
        </w:rPr>
      </w:pPr>
      <w:r>
        <w:rPr>
          <w:rFonts w:hint="eastAsia"/>
          <w:sz w:val="24"/>
          <w:szCs w:val="24"/>
          <w:lang w:val="en-US" w:eastAsia="zh-CN"/>
        </w:rPr>
        <w:t>领导小组组长：王晓勇；</w:t>
      </w:r>
    </w:p>
    <w:p>
      <w:pPr>
        <w:pStyle w:val="style0"/>
        <w:spacing w:lineRule="auto" w:line="360"/>
        <w:ind w:firstLine="480" w:firstLineChars="200"/>
        <w:rPr>
          <w:rFonts w:hint="eastAsia"/>
          <w:sz w:val="24"/>
          <w:szCs w:val="24"/>
          <w:lang w:val="en-US" w:eastAsia="zh-CN"/>
        </w:rPr>
      </w:pPr>
      <w:r>
        <w:rPr>
          <w:rFonts w:hint="eastAsia"/>
          <w:sz w:val="24"/>
          <w:szCs w:val="24"/>
          <w:lang w:val="en-US" w:eastAsia="zh-CN"/>
        </w:rPr>
        <w:t>领导小组成员：酒梅菊、张帅梁、张二龙、管煜武、李伟。</w:t>
      </w:r>
    </w:p>
    <w:p>
      <w:pPr>
        <w:pStyle w:val="style0"/>
        <w:spacing w:lineRule="auto" w:line="360"/>
        <w:ind w:firstLine="480" w:firstLineChars="200"/>
        <w:rPr>
          <w:rFonts w:hint="eastAsia"/>
          <w:sz w:val="24"/>
          <w:szCs w:val="24"/>
          <w:lang w:val="en-US" w:eastAsia="zh-CN"/>
        </w:rPr>
      </w:pPr>
      <w:r>
        <w:rPr>
          <w:rFonts w:hint="eastAsia"/>
          <w:sz w:val="24"/>
          <w:szCs w:val="24"/>
          <w:lang w:val="en-US" w:eastAsia="zh-CN"/>
        </w:rPr>
        <w:t>监督小组组长：李培玉；</w:t>
      </w:r>
    </w:p>
    <w:p>
      <w:pPr>
        <w:pStyle w:val="style0"/>
        <w:spacing w:lineRule="auto" w:line="360"/>
        <w:ind w:firstLine="480" w:firstLineChars="200"/>
        <w:rPr>
          <w:rFonts w:hint="eastAsia"/>
          <w:sz w:val="24"/>
          <w:szCs w:val="24"/>
          <w:lang w:val="en-US" w:eastAsia="zh-CN"/>
        </w:rPr>
      </w:pPr>
      <w:r>
        <w:rPr>
          <w:rFonts w:hint="eastAsia"/>
          <w:sz w:val="24"/>
          <w:szCs w:val="24"/>
          <w:lang w:val="en-US" w:eastAsia="zh-CN"/>
        </w:rPr>
        <w:t>监督小组成员：王燕萍、沈倩茹、朱瑞萍、徐轶博。</w:t>
      </w:r>
    </w:p>
    <w:p>
      <w:pPr>
        <w:pStyle w:val="style0"/>
        <w:spacing w:lineRule="auto" w:line="360"/>
        <w:ind w:firstLine="480" w:firstLineChars="200"/>
        <w:rPr>
          <w:rFonts w:hint="eastAsia"/>
          <w:sz w:val="24"/>
          <w:szCs w:val="24"/>
        </w:rPr>
      </w:pPr>
      <w:r>
        <w:rPr>
          <w:rFonts w:hint="eastAsia"/>
          <w:sz w:val="24"/>
          <w:szCs w:val="24"/>
          <w:lang w:val="en-US" w:eastAsia="zh-CN"/>
        </w:rPr>
        <w:t>复试专家小组：不少于5人，从硕士生导师中随机抽取。</w:t>
      </w:r>
    </w:p>
    <w:p>
      <w:pPr>
        <w:pStyle w:val="style0"/>
        <w:spacing w:lineRule="auto" w:line="360"/>
        <w:ind w:firstLine="482" w:firstLineChars="200"/>
        <w:rPr>
          <w:rFonts w:hint="eastAsia"/>
          <w:b/>
          <w:bCs/>
          <w:sz w:val="24"/>
          <w:szCs w:val="24"/>
        </w:rPr>
      </w:pPr>
      <w:r>
        <w:rPr>
          <w:rFonts w:hint="eastAsia"/>
          <w:b/>
          <w:bCs/>
          <w:sz w:val="24"/>
          <w:szCs w:val="24"/>
          <w:lang w:val="en-US" w:eastAsia="zh-CN"/>
        </w:rPr>
        <w:t>二</w:t>
      </w:r>
      <w:r>
        <w:rPr>
          <w:rFonts w:hint="eastAsia"/>
          <w:b/>
          <w:bCs/>
          <w:sz w:val="24"/>
          <w:szCs w:val="24"/>
        </w:rPr>
        <w:t>、复试方式</w:t>
      </w:r>
    </w:p>
    <w:p>
      <w:pPr>
        <w:pStyle w:val="style0"/>
        <w:spacing w:lineRule="auto" w:line="360"/>
        <w:ind w:firstLine="480" w:firstLineChars="200"/>
        <w:rPr>
          <w:rFonts w:hint="eastAsia"/>
          <w:sz w:val="24"/>
          <w:szCs w:val="24"/>
        </w:rPr>
      </w:pPr>
      <w:r>
        <w:rPr>
          <w:rFonts w:hint="eastAsia"/>
          <w:sz w:val="24"/>
          <w:szCs w:val="24"/>
        </w:rPr>
        <w:t>采用</w:t>
      </w:r>
      <w:r>
        <w:rPr>
          <w:rFonts w:hint="eastAsia"/>
          <w:sz w:val="24"/>
          <w:szCs w:val="24"/>
          <w:lang w:val="en-US" w:eastAsia="zh-CN"/>
        </w:rPr>
        <w:t>网络远程复试，</w:t>
      </w:r>
      <w:r>
        <w:rPr>
          <w:rFonts w:hint="eastAsia"/>
          <w:sz w:val="24"/>
          <w:szCs w:val="24"/>
        </w:rPr>
        <w:t>平台</w:t>
      </w:r>
      <w:r>
        <w:rPr>
          <w:rFonts w:hint="eastAsia"/>
          <w:sz w:val="24"/>
          <w:szCs w:val="24"/>
          <w:lang w:val="en-US" w:eastAsia="zh-CN"/>
        </w:rPr>
        <w:t>为“腾讯</w:t>
      </w:r>
      <w:r>
        <w:rPr>
          <w:rFonts w:hint="eastAsia"/>
          <w:sz w:val="24"/>
          <w:szCs w:val="24"/>
        </w:rPr>
        <w:t>会议</w:t>
      </w:r>
      <w:r>
        <w:rPr>
          <w:rFonts w:hint="eastAsia"/>
          <w:sz w:val="24"/>
          <w:szCs w:val="24"/>
          <w:lang w:val="en-US" w:eastAsia="zh-CN"/>
        </w:rPr>
        <w:t>”</w:t>
      </w:r>
      <w:r>
        <w:rPr>
          <w:rFonts w:hint="eastAsia"/>
          <w:sz w:val="24"/>
          <w:szCs w:val="24"/>
        </w:rPr>
        <w:t>。考生收到复试</w:t>
      </w:r>
      <w:r>
        <w:rPr>
          <w:rFonts w:hint="eastAsia"/>
          <w:sz w:val="24"/>
          <w:szCs w:val="24"/>
          <w:lang w:val="en-US" w:eastAsia="zh-CN"/>
        </w:rPr>
        <w:t>通知后</w:t>
      </w:r>
      <w:r>
        <w:rPr>
          <w:rFonts w:hint="eastAsia"/>
          <w:sz w:val="24"/>
          <w:szCs w:val="24"/>
        </w:rPr>
        <w:t>，下载软件</w:t>
      </w:r>
      <w:r>
        <w:rPr>
          <w:rFonts w:hint="eastAsia"/>
          <w:sz w:val="24"/>
          <w:szCs w:val="24"/>
          <w:lang w:val="en-US" w:eastAsia="zh-CN"/>
        </w:rPr>
        <w:t>并</w:t>
      </w:r>
      <w:r>
        <w:rPr>
          <w:rFonts w:hint="eastAsia"/>
          <w:sz w:val="24"/>
          <w:szCs w:val="24"/>
        </w:rPr>
        <w:t>登陆操作</w:t>
      </w:r>
      <w:r>
        <w:rPr>
          <w:rFonts w:hint="eastAsia"/>
          <w:sz w:val="24"/>
          <w:szCs w:val="24"/>
          <w:lang w:eastAsia="zh-CN"/>
        </w:rPr>
        <w:t>，</w:t>
      </w:r>
      <w:r>
        <w:rPr>
          <w:rFonts w:hint="eastAsia"/>
          <w:sz w:val="24"/>
          <w:szCs w:val="24"/>
        </w:rPr>
        <w:t>确认网络、设备、环境等复试条件</w:t>
      </w:r>
      <w:r>
        <w:rPr>
          <w:rFonts w:hint="eastAsia"/>
          <w:sz w:val="24"/>
          <w:szCs w:val="24"/>
          <w:lang w:val="en-US" w:eastAsia="zh-CN"/>
        </w:rPr>
        <w:t>能够保障复试的正常进行</w:t>
      </w:r>
      <w:r>
        <w:rPr>
          <w:rFonts w:hint="eastAsia"/>
          <w:sz w:val="24"/>
          <w:szCs w:val="24"/>
          <w:lang w:eastAsia="zh-CN"/>
        </w:rPr>
        <w:t>。</w:t>
      </w:r>
    </w:p>
    <w:p>
      <w:pPr>
        <w:pStyle w:val="style0"/>
        <w:spacing w:lineRule="auto" w:line="360"/>
        <w:ind w:firstLine="482" w:firstLineChars="200"/>
        <w:rPr>
          <w:rFonts w:hint="eastAsia"/>
          <w:b/>
          <w:bCs/>
          <w:sz w:val="24"/>
          <w:szCs w:val="24"/>
        </w:rPr>
      </w:pPr>
      <w:r>
        <w:rPr>
          <w:rFonts w:hint="eastAsia"/>
          <w:b/>
          <w:bCs/>
          <w:sz w:val="24"/>
          <w:szCs w:val="24"/>
          <w:lang w:val="en-US" w:eastAsia="zh-CN"/>
        </w:rPr>
        <w:t>三</w:t>
      </w:r>
      <w:r>
        <w:rPr>
          <w:rFonts w:hint="eastAsia"/>
          <w:b/>
          <w:bCs/>
          <w:sz w:val="24"/>
          <w:szCs w:val="24"/>
        </w:rPr>
        <w:t>、招生计划</w:t>
      </w:r>
      <w:r>
        <w:rPr>
          <w:rFonts w:hint="eastAsia"/>
          <w:b/>
          <w:bCs/>
          <w:sz w:val="24"/>
          <w:szCs w:val="24"/>
          <w:lang w:eastAsia="zh-CN"/>
        </w:rPr>
        <w:t>与</w:t>
      </w:r>
      <w:r>
        <w:rPr>
          <w:rFonts w:hint="eastAsia"/>
          <w:b/>
          <w:bCs/>
          <w:sz w:val="24"/>
          <w:szCs w:val="24"/>
        </w:rPr>
        <w:t>复试分数线</w:t>
      </w:r>
    </w:p>
    <w:tbl>
      <w:tblPr>
        <w:tblStyle w:val="style105"/>
        <w:tblW w:w="9046" w:type="dxa"/>
        <w:tblInd w:w="0" w:type="dxa"/>
        <w:shd w:val="clear" w:color="auto" w:fill="auto"/>
        <w:tblCellMar>
          <w:top w:w="0" w:type="dxa"/>
          <w:left w:w="0" w:type="dxa"/>
          <w:bottom w:w="0" w:type="dxa"/>
          <w:right w:w="0" w:type="dxa"/>
        </w:tblCellMar>
      </w:tblPr>
      <w:tblGrid>
        <w:gridCol w:w="1270"/>
        <w:gridCol w:w="1460"/>
        <w:gridCol w:w="1263"/>
        <w:gridCol w:w="1262"/>
        <w:gridCol w:w="1262"/>
        <w:gridCol w:w="1262"/>
        <w:gridCol w:w="1262"/>
      </w:tblGrid>
      <w:tr>
        <w:trPr>
          <w:trHeight w:val="525" w:hRule="atLeast"/>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专业与代码</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sz w:val="24"/>
                <w:szCs w:val="24"/>
                <w:u w:val="none"/>
                <w:lang w:val="en-US"/>
              </w:rPr>
            </w:pPr>
            <w:r>
              <w:rPr>
                <w:rFonts w:ascii="宋体" w:cs="宋体" w:eastAsia="宋体" w:hAnsi="宋体" w:hint="eastAsia"/>
                <w:i w:val="false"/>
                <w:color w:val="000000"/>
                <w:kern w:val="0"/>
                <w:sz w:val="24"/>
                <w:szCs w:val="24"/>
                <w:u w:val="none"/>
                <w:lang w:val="en-US" w:eastAsia="zh-CN"/>
              </w:rPr>
              <w:t>计划招生人数</w:t>
            </w:r>
          </w:p>
        </w:tc>
        <w:tc>
          <w:tcPr>
            <w:tcW w:w="6316" w:type="dxa"/>
            <w:gridSpan w:val="5"/>
            <w:tcBorders>
              <w:top w:val="single" w:sz="4" w:space="0" w:color="000000"/>
              <w:left w:val="single" w:sz="4" w:space="0" w:color="000000"/>
              <w:bottom w:val="single" w:sz="4" w:space="0" w:color="000000"/>
              <w:right w:val="single" w:sz="4" w:space="0" w:color="auto"/>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复试分数线</w:t>
            </w:r>
          </w:p>
        </w:tc>
      </w:tr>
      <w:tr>
        <w:tblPrEx/>
        <w:trPr>
          <w:wAfter w:w="5" w:type="dxa"/>
          <w:trHeight w:val="525" w:hRule="atLeast"/>
        </w:trPr>
        <w:tc>
          <w:tcPr>
            <w:tcW w:w="1270" w:type="dxa"/>
            <w:vMerge w:val="continue"/>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spacing w:lineRule="auto" w:line="240"/>
              <w:jc w:val="center"/>
              <w:rPr>
                <w:rFonts w:ascii="宋体" w:cs="宋体" w:eastAsia="宋体" w:hAnsi="宋体" w:hint="eastAsia"/>
                <w:i w:val="false"/>
                <w:color w:val="000000"/>
                <w:sz w:val="24"/>
                <w:szCs w:val="24"/>
                <w:u w:val="none"/>
              </w:rPr>
            </w:pPr>
          </w:p>
        </w:tc>
        <w:tc>
          <w:tcPr>
            <w:tcW w:w="1460" w:type="dxa"/>
            <w:vMerge w:val="continue"/>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spacing w:lineRule="auto" w:line="240"/>
              <w:jc w:val="center"/>
              <w:rPr>
                <w:rFonts w:ascii="宋体" w:cs="宋体" w:eastAsia="宋体" w:hAnsi="宋体" w:hint="eastAsia"/>
                <w:i w:val="false"/>
                <w:color w:val="000000"/>
                <w:sz w:val="24"/>
                <w:szCs w:val="24"/>
                <w:u w:val="none"/>
              </w:rPr>
            </w:pPr>
          </w:p>
        </w:tc>
        <w:tc>
          <w:tcPr>
            <w:tcW w:w="1263"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总分</w:t>
            </w:r>
          </w:p>
        </w:tc>
        <w:tc>
          <w:tcPr>
            <w:tcW w:w="1262"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政治理论成绩</w:t>
            </w:r>
          </w:p>
        </w:tc>
        <w:tc>
          <w:tcPr>
            <w:tcW w:w="1262"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外国语成绩</w:t>
            </w:r>
          </w:p>
        </w:tc>
        <w:tc>
          <w:tcPr>
            <w:tcW w:w="1262"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业务课1成绩</w:t>
            </w:r>
          </w:p>
        </w:tc>
        <w:tc>
          <w:tcPr>
            <w:tcW w:w="1262" w:type="dxa"/>
            <w:tcBorders>
              <w:top w:val="single" w:sz="4" w:space="0" w:color="000000"/>
              <w:left w:val="single" w:sz="4" w:space="0" w:color="000000"/>
              <w:bottom w:val="single" w:sz="4" w:space="0" w:color="000000"/>
              <w:right w:val="single" w:sz="4" w:space="0" w:color="auto"/>
            </w:tcBorders>
            <w:shd w:val="clear" w:color="auto" w:fill="ddd9c4"/>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业务课2成绩</w:t>
            </w:r>
          </w:p>
        </w:tc>
      </w:tr>
      <w:tr>
        <w:tblPrEx/>
        <w:trPr>
          <w:wAfter w:w="5" w:type="dxa"/>
          <w:trHeight w:val="772" w:hRule="atLeast"/>
        </w:trPr>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095137</w:t>
            </w:r>
          </w:p>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农业管理</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sz w:val="24"/>
                <w:szCs w:val="24"/>
                <w:u w:val="none"/>
                <w:lang w:val="en-US"/>
              </w:rPr>
            </w:pPr>
            <w:r>
              <w:rPr>
                <w:rFonts w:ascii="宋体" w:cs="宋体" w:eastAsia="宋体" w:hAnsi="宋体" w:hint="eastAsia"/>
                <w:i w:val="false"/>
                <w:color w:val="000000"/>
                <w:kern w:val="0"/>
                <w:sz w:val="24"/>
                <w:szCs w:val="24"/>
                <w:u w:val="none"/>
                <w:lang w:val="en-US" w:eastAsia="zh-CN"/>
              </w:rPr>
              <w:t>全日制17人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253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50</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50</w:t>
            </w:r>
          </w:p>
        </w:tc>
      </w:tr>
      <w:tr>
        <w:tblPrEx/>
        <w:trPr>
          <w:wAfter w:w="5" w:type="dxa"/>
          <w:trHeight w:val="812" w:hRule="atLeast"/>
        </w:trPr>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095137</w:t>
            </w:r>
          </w:p>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农业管理</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sz w:val="24"/>
                <w:szCs w:val="24"/>
                <w:u w:val="none"/>
                <w:lang w:val="en-US" w:eastAsia="zh-CN"/>
              </w:rPr>
            </w:pPr>
            <w:r>
              <w:rPr>
                <w:rFonts w:ascii="宋体" w:cs="宋体" w:eastAsia="宋体" w:hAnsi="宋体" w:hint="eastAsia"/>
                <w:i w:val="false"/>
                <w:color w:val="000000"/>
                <w:sz w:val="24"/>
                <w:szCs w:val="24"/>
                <w:u w:val="none"/>
                <w:lang w:val="en-US" w:eastAsia="zh-CN"/>
              </w:rPr>
              <w:t>非全日制14人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253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50</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50</w:t>
            </w:r>
          </w:p>
        </w:tc>
      </w:tr>
      <w:tr>
        <w:tblPrEx/>
        <w:trPr>
          <w:wAfter w:w="5" w:type="dxa"/>
          <w:trHeight w:val="787" w:hRule="atLeast"/>
        </w:trPr>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035200</w:t>
            </w:r>
          </w:p>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社会工作</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sz w:val="24"/>
                <w:szCs w:val="24"/>
                <w:u w:val="none"/>
                <w:lang w:val="en-US"/>
              </w:rPr>
            </w:pPr>
            <w:r>
              <w:rPr>
                <w:rFonts w:ascii="宋体" w:cs="宋体" w:eastAsia="宋体" w:hAnsi="宋体" w:hint="eastAsia"/>
                <w:i w:val="false"/>
                <w:color w:val="000000"/>
                <w:kern w:val="0"/>
                <w:sz w:val="24"/>
                <w:szCs w:val="24"/>
                <w:u w:val="none"/>
                <w:lang w:val="en-US" w:eastAsia="zh-CN"/>
              </w:rPr>
              <w:t>全日制11人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325</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46</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46</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69</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69</w:t>
            </w:r>
          </w:p>
        </w:tc>
      </w:tr>
      <w:tr>
        <w:tblPrEx/>
        <w:trPr>
          <w:wAfter w:w="5" w:type="dxa"/>
          <w:trHeight w:val="792" w:hRule="atLeast"/>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035200</w:t>
            </w:r>
          </w:p>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kern w:val="0"/>
                <w:sz w:val="24"/>
                <w:szCs w:val="24"/>
                <w:u w:val="none"/>
                <w:lang w:val="en-US" w:eastAsia="zh-CN"/>
              </w:rPr>
            </w:pPr>
            <w:r>
              <w:rPr>
                <w:rFonts w:ascii="宋体" w:cs="宋体" w:eastAsia="宋体" w:hAnsi="宋体" w:hint="eastAsia"/>
                <w:i w:val="false"/>
                <w:color w:val="000000"/>
                <w:kern w:val="0"/>
                <w:sz w:val="24"/>
                <w:szCs w:val="24"/>
                <w:u w:val="none"/>
                <w:lang w:val="en-US" w:eastAsia="zh-CN"/>
              </w:rPr>
              <w:t>社会工作</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default"/>
                <w:i w:val="false"/>
                <w:color w:val="000000"/>
                <w:sz w:val="24"/>
                <w:szCs w:val="24"/>
                <w:u w:val="none"/>
                <w:lang w:val="en-US" w:eastAsia="zh-CN"/>
              </w:rPr>
            </w:pPr>
            <w:r>
              <w:rPr>
                <w:rFonts w:ascii="宋体" w:cs="宋体" w:eastAsia="宋体" w:hAnsi="宋体" w:hint="eastAsia"/>
                <w:i w:val="false"/>
                <w:color w:val="000000"/>
                <w:sz w:val="24"/>
                <w:szCs w:val="24"/>
                <w:u w:val="none"/>
                <w:lang w:val="en-US" w:eastAsia="zh-CN"/>
              </w:rPr>
              <w:t>非全日制6人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325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46</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46</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69</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spacing w:lineRule="auto" w:line="240"/>
              <w:jc w:val="center"/>
              <w:textAlignment w:val="center"/>
              <w:rPr>
                <w:rFonts w:ascii="宋体" w:cs="宋体" w:eastAsia="宋体" w:hAnsi="宋体" w:hint="eastAsia"/>
                <w:i w:val="false"/>
                <w:color w:val="000000"/>
                <w:sz w:val="24"/>
                <w:szCs w:val="24"/>
                <w:u w:val="none"/>
              </w:rPr>
            </w:pPr>
            <w:r>
              <w:rPr>
                <w:rFonts w:ascii="宋体" w:cs="宋体" w:eastAsia="宋体" w:hAnsi="宋体" w:hint="eastAsia"/>
                <w:i w:val="false"/>
                <w:color w:val="000000"/>
                <w:kern w:val="0"/>
                <w:sz w:val="24"/>
                <w:szCs w:val="24"/>
                <w:u w:val="none"/>
                <w:lang w:val="en-US" w:eastAsia="zh-CN"/>
              </w:rPr>
              <w:t>69</w:t>
            </w:r>
          </w:p>
        </w:tc>
      </w:tr>
    </w:tbl>
    <w:p>
      <w:pPr>
        <w:pStyle w:val="style0"/>
        <w:spacing w:lineRule="auto" w:line="360"/>
        <w:rPr>
          <w:rFonts w:hint="eastAsia"/>
          <w:sz w:val="24"/>
          <w:szCs w:val="24"/>
        </w:rPr>
      </w:pPr>
    </w:p>
    <w:p>
      <w:pPr>
        <w:pStyle w:val="style0"/>
        <w:spacing w:lineRule="auto" w:line="360"/>
        <w:ind w:firstLine="482" w:firstLineChars="200"/>
        <w:rPr>
          <w:rFonts w:hint="eastAsia"/>
          <w:b/>
          <w:bCs/>
          <w:sz w:val="24"/>
          <w:szCs w:val="24"/>
        </w:rPr>
      </w:pPr>
      <w:r>
        <w:rPr>
          <w:rFonts w:hint="eastAsia"/>
          <w:b/>
          <w:bCs/>
          <w:sz w:val="24"/>
          <w:szCs w:val="24"/>
          <w:lang w:val="en-US" w:eastAsia="zh-CN"/>
        </w:rPr>
        <w:t>四</w:t>
      </w:r>
      <w:r>
        <w:rPr>
          <w:rFonts w:hint="eastAsia"/>
          <w:b/>
          <w:bCs/>
          <w:sz w:val="24"/>
          <w:szCs w:val="24"/>
        </w:rPr>
        <w:t>、复试时间</w:t>
      </w:r>
    </w:p>
    <w:p>
      <w:pPr>
        <w:pStyle w:val="style0"/>
        <w:spacing w:lineRule="auto" w:line="360"/>
        <w:ind w:firstLine="480" w:firstLineChars="200"/>
        <w:rPr>
          <w:rFonts w:eastAsia="宋体" w:hint="eastAsia"/>
          <w:sz w:val="24"/>
          <w:szCs w:val="24"/>
          <w:lang w:eastAsia="zh-CN"/>
        </w:rPr>
      </w:pPr>
      <w:r>
        <w:rPr>
          <w:rFonts w:hint="eastAsia"/>
          <w:color w:val="000000"/>
          <w:sz w:val="24"/>
          <w:szCs w:val="24"/>
          <w:lang w:val="en-US" w:eastAsia="zh-CN"/>
        </w:rPr>
        <w:t>社会工作专业：5月20日</w:t>
      </w:r>
      <w:r>
        <w:rPr>
          <w:rFonts w:hint="eastAsia"/>
          <w:color w:val="000000"/>
          <w:sz w:val="24"/>
          <w:szCs w:val="24"/>
        </w:rPr>
        <w:t>8:</w:t>
      </w:r>
      <w:r>
        <w:rPr>
          <w:rFonts w:hint="eastAsia"/>
          <w:sz w:val="24"/>
          <w:szCs w:val="24"/>
        </w:rPr>
        <w:t>30开始</w:t>
      </w:r>
      <w:r>
        <w:rPr>
          <w:rFonts w:hint="eastAsia"/>
          <w:sz w:val="24"/>
          <w:szCs w:val="24"/>
          <w:lang w:eastAsia="zh-CN"/>
        </w:rPr>
        <w:t>。</w:t>
      </w:r>
    </w:p>
    <w:p>
      <w:pPr>
        <w:pStyle w:val="style0"/>
        <w:spacing w:lineRule="auto" w:line="360"/>
        <w:ind w:firstLine="480" w:firstLineChars="200"/>
        <w:rPr>
          <w:rFonts w:eastAsia="宋体" w:hint="eastAsia"/>
          <w:color w:val="000000"/>
          <w:sz w:val="24"/>
          <w:szCs w:val="24"/>
          <w:lang w:eastAsia="zh-CN"/>
        </w:rPr>
      </w:pPr>
      <w:r>
        <w:rPr>
          <w:rFonts w:hint="eastAsia"/>
          <w:sz w:val="24"/>
          <w:szCs w:val="24"/>
          <w:lang w:val="en-US" w:eastAsia="zh-CN"/>
        </w:rPr>
        <w:t>农业管理专业</w:t>
      </w:r>
      <w:r>
        <w:rPr>
          <w:rFonts w:hint="eastAsia"/>
          <w:sz w:val="24"/>
          <w:szCs w:val="24"/>
        </w:rPr>
        <w:t>：</w:t>
      </w:r>
      <w:r>
        <w:rPr>
          <w:rFonts w:hint="eastAsia"/>
          <w:color w:val="000000"/>
          <w:sz w:val="24"/>
          <w:szCs w:val="24"/>
        </w:rPr>
        <w:t>5月</w:t>
      </w:r>
      <w:r>
        <w:rPr>
          <w:rFonts w:hint="eastAsia"/>
          <w:color w:val="000000"/>
          <w:sz w:val="24"/>
          <w:szCs w:val="24"/>
          <w:lang w:val="en-US" w:eastAsia="zh-CN"/>
        </w:rPr>
        <w:t>21</w:t>
      </w:r>
      <w:r>
        <w:rPr>
          <w:rFonts w:hint="eastAsia"/>
          <w:color w:val="000000"/>
          <w:sz w:val="24"/>
          <w:szCs w:val="24"/>
        </w:rPr>
        <w:t>日8:30开始</w:t>
      </w:r>
      <w:r>
        <w:rPr>
          <w:rFonts w:hint="eastAsia"/>
          <w:color w:val="000000"/>
          <w:sz w:val="24"/>
          <w:szCs w:val="24"/>
          <w:lang w:eastAsia="zh-CN"/>
        </w:rPr>
        <w:t>。</w:t>
      </w:r>
    </w:p>
    <w:p>
      <w:pPr>
        <w:pStyle w:val="style0"/>
        <w:spacing w:lineRule="auto" w:line="360"/>
        <w:ind w:firstLine="480" w:firstLineChars="200"/>
        <w:rPr>
          <w:rFonts w:hint="eastAsia"/>
          <w:sz w:val="24"/>
          <w:szCs w:val="24"/>
        </w:rPr>
      </w:pPr>
      <w:r>
        <w:rPr>
          <w:rFonts w:hint="eastAsia"/>
          <w:sz w:val="24"/>
          <w:szCs w:val="24"/>
        </w:rPr>
        <w:t>调剂考生复试待调剂系统开放后另行安排。</w:t>
      </w:r>
    </w:p>
    <w:p>
      <w:pPr>
        <w:pStyle w:val="style0"/>
        <w:spacing w:lineRule="auto" w:line="360"/>
        <w:ind w:firstLine="482" w:firstLineChars="200"/>
        <w:rPr>
          <w:rFonts w:hint="eastAsia"/>
          <w:b/>
          <w:bCs/>
          <w:sz w:val="24"/>
          <w:szCs w:val="24"/>
        </w:rPr>
      </w:pPr>
      <w:r>
        <w:rPr>
          <w:rFonts w:hint="eastAsia"/>
          <w:b/>
          <w:bCs/>
          <w:sz w:val="24"/>
          <w:szCs w:val="24"/>
          <w:lang w:val="en-US" w:eastAsia="zh-CN"/>
        </w:rPr>
        <w:t>五</w:t>
      </w:r>
      <w:r>
        <w:rPr>
          <w:rFonts w:hint="eastAsia"/>
          <w:b/>
          <w:bCs/>
          <w:sz w:val="24"/>
          <w:szCs w:val="24"/>
        </w:rPr>
        <w:t>、复试通知方式</w:t>
      </w:r>
    </w:p>
    <w:p>
      <w:pPr>
        <w:pStyle w:val="style0"/>
        <w:spacing w:lineRule="auto" w:line="360"/>
        <w:ind w:firstLine="480" w:firstLineChars="200"/>
        <w:rPr>
          <w:rFonts w:hint="default"/>
          <w:sz w:val="24"/>
          <w:szCs w:val="24"/>
          <w:lang w:val="en-US" w:eastAsia="zh-CN"/>
        </w:rPr>
      </w:pPr>
      <w:r>
        <w:rPr>
          <w:rFonts w:hint="eastAsia"/>
          <w:sz w:val="24"/>
          <w:szCs w:val="24"/>
          <w:lang w:val="en-US" w:eastAsia="zh-CN"/>
        </w:rPr>
        <w:t>复试通知通过学院官网和电话两种方式进行。</w:t>
      </w:r>
    </w:p>
    <w:p>
      <w:pPr>
        <w:pStyle w:val="style0"/>
        <w:spacing w:lineRule="auto" w:line="360"/>
        <w:ind w:firstLine="480" w:firstLineChars="200"/>
        <w:rPr>
          <w:rFonts w:hint="eastAsia"/>
          <w:sz w:val="24"/>
          <w:szCs w:val="24"/>
        </w:rPr>
      </w:pPr>
      <w:r>
        <w:rPr>
          <w:rFonts w:ascii="宋体" w:cs="宋体" w:eastAsia="宋体" w:hAnsi="宋体" w:hint="eastAsia"/>
          <w:sz w:val="24"/>
          <w:szCs w:val="24"/>
          <w:lang w:val="en-US" w:eastAsia="zh-CN"/>
        </w:rPr>
        <w:t>文法学院官网</w:t>
      </w:r>
      <w:r>
        <w:rPr>
          <w:rFonts w:ascii="宋体" w:cs="宋体" w:eastAsia="宋体" w:hAnsi="宋体"/>
          <w:sz w:val="24"/>
          <w:szCs w:val="24"/>
        </w:rPr>
        <w:fldChar w:fldCharType="begin"/>
      </w:r>
      <w:r>
        <w:rPr>
          <w:rFonts w:ascii="宋体" w:cs="宋体" w:eastAsia="宋体" w:hAnsi="宋体"/>
          <w:sz w:val="24"/>
          <w:szCs w:val="24"/>
        </w:rPr>
        <w:instrText xml:space="preserve"> HYPERLINK "http://wenfa.henau.edu.cn/" </w:instrText>
      </w:r>
      <w:r>
        <w:rPr>
          <w:rFonts w:ascii="宋体" w:cs="宋体" w:eastAsia="宋体" w:hAnsi="宋体"/>
          <w:sz w:val="24"/>
          <w:szCs w:val="24"/>
        </w:rPr>
        <w:fldChar w:fldCharType="separate"/>
      </w:r>
      <w:r>
        <w:rPr>
          <w:rStyle w:val="style85"/>
          <w:rFonts w:ascii="宋体" w:cs="宋体" w:eastAsia="宋体" w:hAnsi="宋体"/>
          <w:sz w:val="24"/>
          <w:szCs w:val="24"/>
        </w:rPr>
        <w:t>http://wenfa.henau.edu.cn/</w:t>
      </w:r>
      <w:r>
        <w:rPr>
          <w:rFonts w:ascii="宋体" w:cs="宋体" w:eastAsia="宋体" w:hAnsi="宋体"/>
          <w:sz w:val="24"/>
          <w:szCs w:val="24"/>
        </w:rPr>
        <w:fldChar w:fldCharType="end"/>
      </w:r>
      <w:r>
        <w:rPr>
          <w:rFonts w:ascii="宋体" w:cs="宋体" w:eastAsia="宋体" w:hAnsi="宋体" w:hint="eastAsia"/>
          <w:sz w:val="24"/>
          <w:szCs w:val="24"/>
          <w:lang w:eastAsia="zh-CN"/>
        </w:rPr>
        <w:t>；</w:t>
      </w:r>
      <w:r>
        <w:rPr>
          <w:rFonts w:hint="eastAsia"/>
          <w:sz w:val="24"/>
          <w:szCs w:val="24"/>
        </w:rPr>
        <w:t>电话 0371-</w:t>
      </w:r>
      <w:r>
        <w:rPr>
          <w:rFonts w:hint="eastAsia"/>
          <w:sz w:val="24"/>
          <w:szCs w:val="24"/>
          <w:lang w:val="en-US" w:eastAsia="zh-CN"/>
        </w:rPr>
        <w:t xml:space="preserve"> 56990082</w:t>
      </w:r>
      <w:r>
        <w:rPr>
          <w:rFonts w:hint="eastAsia"/>
          <w:sz w:val="24"/>
          <w:szCs w:val="24"/>
        </w:rPr>
        <w:t>。</w:t>
      </w:r>
    </w:p>
    <w:p>
      <w:pPr>
        <w:pStyle w:val="style0"/>
        <w:spacing w:lineRule="auto" w:line="360"/>
        <w:ind w:firstLine="482" w:firstLineChars="200"/>
        <w:rPr>
          <w:rFonts w:hint="eastAsia"/>
          <w:b/>
          <w:bCs/>
          <w:sz w:val="24"/>
          <w:szCs w:val="24"/>
        </w:rPr>
      </w:pPr>
      <w:r>
        <w:rPr>
          <w:rFonts w:hint="eastAsia"/>
          <w:b/>
          <w:bCs/>
          <w:sz w:val="24"/>
          <w:szCs w:val="24"/>
          <w:lang w:val="en-US" w:eastAsia="zh-CN"/>
        </w:rPr>
        <w:t>六</w:t>
      </w:r>
      <w:r>
        <w:rPr>
          <w:rFonts w:hint="eastAsia"/>
          <w:b/>
          <w:bCs/>
          <w:sz w:val="24"/>
          <w:szCs w:val="24"/>
        </w:rPr>
        <w:t>、复试资格审查</w:t>
      </w:r>
    </w:p>
    <w:p>
      <w:pPr>
        <w:pStyle w:val="style0"/>
        <w:spacing w:lineRule="auto" w:line="360"/>
        <w:ind w:firstLine="480" w:firstLineChars="200"/>
        <w:rPr>
          <w:rFonts w:hint="eastAsia"/>
          <w:color w:val="000000"/>
          <w:sz w:val="24"/>
          <w:szCs w:val="24"/>
          <w:lang w:eastAsia="zh-CN"/>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lang w:val="en-US" w:eastAsia="zh-CN"/>
        </w:rPr>
        <w:t>考生</w:t>
      </w:r>
      <w:r>
        <w:rPr>
          <w:rFonts w:hint="eastAsia"/>
          <w:color w:val="000000"/>
          <w:sz w:val="24"/>
          <w:szCs w:val="24"/>
        </w:rPr>
        <w:t>签订“</w:t>
      </w:r>
      <w:r>
        <w:rPr>
          <w:rFonts w:hint="eastAsia"/>
          <w:color w:val="000000"/>
          <w:sz w:val="24"/>
          <w:szCs w:val="24"/>
          <w:lang w:val="en-US" w:eastAsia="zh-CN"/>
        </w:rPr>
        <w:t>2020年全国硕士研究生招生考试复试考生</w:t>
      </w:r>
      <w:r>
        <w:rPr>
          <w:rFonts w:hint="eastAsia"/>
          <w:color w:val="000000"/>
          <w:sz w:val="24"/>
          <w:szCs w:val="24"/>
        </w:rPr>
        <w:t>诚信考试承诺书”</w:t>
      </w:r>
      <w:r>
        <w:rPr>
          <w:rFonts w:hint="eastAsia"/>
          <w:color w:val="000000"/>
          <w:sz w:val="24"/>
          <w:szCs w:val="24"/>
          <w:lang w:eastAsia="zh-CN"/>
        </w:rPr>
        <w:t>，</w:t>
      </w:r>
      <w:r>
        <w:rPr>
          <w:rFonts w:hint="eastAsia"/>
          <w:color w:val="000000"/>
          <w:sz w:val="24"/>
          <w:szCs w:val="24"/>
          <w:lang w:val="en-US" w:eastAsia="zh-CN"/>
        </w:rPr>
        <w:t>并扫描</w:t>
      </w:r>
      <w:r>
        <w:rPr>
          <w:rFonts w:hint="eastAsia"/>
          <w:color w:val="000000"/>
          <w:sz w:val="24"/>
          <w:szCs w:val="24"/>
          <w:lang w:eastAsia="zh-CN"/>
        </w:rPr>
        <w:t>。</w:t>
      </w:r>
    </w:p>
    <w:p>
      <w:pPr>
        <w:pStyle w:val="style0"/>
        <w:spacing w:lineRule="auto" w:line="360"/>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lang w:val="en-US" w:eastAsia="zh-CN"/>
        </w:rPr>
        <w:t>其它</w:t>
      </w:r>
      <w:r>
        <w:rPr>
          <w:rFonts w:hint="eastAsia"/>
          <w:sz w:val="24"/>
          <w:szCs w:val="24"/>
          <w:lang w:eastAsia="zh-CN"/>
        </w:rPr>
        <w:t>材料清单：</w:t>
      </w:r>
    </w:p>
    <w:p>
      <w:pPr>
        <w:pStyle w:val="style0"/>
        <w:spacing w:lineRule="auto" w:line="360"/>
        <w:ind w:firstLine="480" w:firstLineChars="200"/>
        <w:rPr>
          <w:rFonts w:hint="eastAsia"/>
          <w:sz w:val="24"/>
          <w:szCs w:val="24"/>
          <w:lang w:eastAsia="zh-CN"/>
        </w:rPr>
      </w:pPr>
      <w:r>
        <w:rPr>
          <w:rFonts w:hint="eastAsia"/>
          <w:sz w:val="24"/>
          <w:szCs w:val="24"/>
          <w:lang w:eastAsia="zh-CN"/>
        </w:rPr>
        <w:t>1.身份证扫描件（需正反面扫描）；</w:t>
      </w:r>
    </w:p>
    <w:p>
      <w:pPr>
        <w:pStyle w:val="style0"/>
        <w:spacing w:lineRule="auto" w:line="360"/>
        <w:ind w:firstLine="480" w:firstLineChars="200"/>
        <w:rPr>
          <w:rFonts w:hint="eastAsia"/>
          <w:sz w:val="24"/>
          <w:szCs w:val="24"/>
          <w:lang w:eastAsia="zh-CN"/>
        </w:rPr>
      </w:pPr>
      <w:r>
        <w:rPr>
          <w:rFonts w:hint="eastAsia"/>
          <w:sz w:val="24"/>
          <w:szCs w:val="24"/>
          <w:lang w:eastAsia="zh-CN"/>
        </w:rPr>
        <w:t>2.毕业证和学位证（往届生）或学历学位认证报告扫描件、学生证（应届生）或学籍在线认证报告扫描件；</w:t>
      </w:r>
    </w:p>
    <w:p>
      <w:pPr>
        <w:pStyle w:val="style0"/>
        <w:spacing w:lineRule="auto" w:line="360"/>
        <w:ind w:firstLine="480" w:firstLineChars="200"/>
        <w:rPr>
          <w:rFonts w:hint="eastAsia"/>
          <w:sz w:val="24"/>
          <w:szCs w:val="24"/>
          <w:lang w:eastAsia="zh-CN"/>
        </w:rPr>
      </w:pPr>
      <w:r>
        <w:rPr>
          <w:rFonts w:hint="eastAsia"/>
          <w:sz w:val="24"/>
          <w:szCs w:val="24"/>
          <w:lang w:eastAsia="zh-CN"/>
        </w:rPr>
        <w:t>3.大学期间成绩单扫描件；</w:t>
      </w:r>
    </w:p>
    <w:p>
      <w:pPr>
        <w:pStyle w:val="style0"/>
        <w:spacing w:lineRule="auto" w:line="360"/>
        <w:ind w:firstLine="480" w:firstLineChars="200"/>
        <w:rPr>
          <w:rFonts w:hint="eastAsia"/>
          <w:sz w:val="24"/>
          <w:szCs w:val="24"/>
          <w:lang w:eastAsia="zh-CN"/>
        </w:rPr>
      </w:pPr>
      <w:r>
        <w:rPr>
          <w:rFonts w:hint="eastAsia"/>
          <w:sz w:val="24"/>
          <w:szCs w:val="24"/>
          <w:lang w:eastAsia="zh-CN"/>
        </w:rPr>
        <w:t>4.网上下载准考证电子版；</w:t>
      </w:r>
    </w:p>
    <w:p>
      <w:pPr>
        <w:pStyle w:val="style0"/>
        <w:spacing w:lineRule="auto" w:line="360"/>
        <w:ind w:firstLine="480" w:firstLineChars="200"/>
        <w:rPr>
          <w:rFonts w:hint="eastAsia"/>
          <w:sz w:val="24"/>
          <w:szCs w:val="24"/>
          <w:lang w:eastAsia="zh-CN"/>
        </w:rPr>
      </w:pPr>
      <w:r>
        <w:rPr>
          <w:rFonts w:hint="eastAsia"/>
          <w:sz w:val="24"/>
          <w:szCs w:val="24"/>
          <w:lang w:eastAsia="zh-CN"/>
        </w:rPr>
        <w:t>5.发表论文或科研成果；</w:t>
      </w:r>
    </w:p>
    <w:p>
      <w:pPr>
        <w:pStyle w:val="style0"/>
        <w:spacing w:lineRule="auto" w:line="360"/>
        <w:ind w:firstLine="480" w:firstLineChars="200"/>
        <w:rPr>
          <w:rFonts w:hint="eastAsia"/>
          <w:sz w:val="24"/>
          <w:szCs w:val="24"/>
          <w:lang w:eastAsia="zh-CN"/>
        </w:rPr>
      </w:pPr>
      <w:r>
        <w:rPr>
          <w:rFonts w:hint="eastAsia"/>
          <w:sz w:val="24"/>
          <w:szCs w:val="24"/>
          <w:lang w:eastAsia="zh-CN"/>
        </w:rPr>
        <w:t>6.其他能证明自己能力的材料。</w:t>
      </w:r>
    </w:p>
    <w:p>
      <w:pPr>
        <w:pStyle w:val="style0"/>
        <w:spacing w:lineRule="auto" w:line="360"/>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三</w:t>
      </w:r>
      <w:r>
        <w:rPr>
          <w:rFonts w:hint="eastAsia"/>
          <w:sz w:val="24"/>
          <w:szCs w:val="24"/>
          <w:lang w:eastAsia="zh-CN"/>
        </w:rPr>
        <w:t>）材料命名要求：</w:t>
      </w:r>
    </w:p>
    <w:p>
      <w:pPr>
        <w:pStyle w:val="style0"/>
        <w:spacing w:lineRule="auto" w:line="360"/>
        <w:ind w:firstLine="480" w:firstLineChars="200"/>
        <w:rPr>
          <w:rFonts w:hint="eastAsia"/>
          <w:sz w:val="24"/>
          <w:szCs w:val="24"/>
          <w:lang w:eastAsia="zh-CN"/>
        </w:rPr>
      </w:pPr>
      <w:r>
        <w:rPr>
          <w:rFonts w:hint="eastAsia"/>
          <w:sz w:val="24"/>
          <w:szCs w:val="24"/>
          <w:lang w:eastAsia="zh-CN"/>
        </w:rPr>
        <w:t>每个文件命名：准考证号后七位+材料名称（如0010001身份证），所有材料最后以一个压缩包形式上传；</w:t>
      </w:r>
    </w:p>
    <w:p>
      <w:pPr>
        <w:pStyle w:val="style0"/>
        <w:spacing w:lineRule="auto" w:line="360"/>
        <w:ind w:firstLine="480" w:firstLineChars="200"/>
        <w:rPr>
          <w:rFonts w:hint="eastAsia"/>
          <w:sz w:val="24"/>
          <w:szCs w:val="24"/>
          <w:lang w:eastAsia="zh-CN"/>
        </w:rPr>
      </w:pPr>
      <w:r>
        <w:rPr>
          <w:rFonts w:hint="eastAsia"/>
          <w:sz w:val="24"/>
          <w:szCs w:val="24"/>
          <w:lang w:eastAsia="zh-CN"/>
        </w:rPr>
        <w:t>压缩包命名：准考证号后七位+姓名+专业代码（如0010001李某某090100）。</w:t>
      </w:r>
    </w:p>
    <w:p>
      <w:pPr>
        <w:pStyle w:val="style0"/>
        <w:spacing w:lineRule="auto" w:line="360"/>
        <w:ind w:firstLine="480" w:firstLineChars="200"/>
        <w:rPr>
          <w:rFonts w:hint="default"/>
          <w:color w:val="000000"/>
          <w:sz w:val="24"/>
          <w:szCs w:val="24"/>
          <w:lang w:val="en-US"/>
        </w:rPr>
      </w:pP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sz w:val="24"/>
          <w:szCs w:val="24"/>
          <w:lang w:val="en-US" w:eastAsia="zh-CN"/>
        </w:rPr>
        <w:t>以上材料</w:t>
      </w:r>
      <w:r>
        <w:rPr>
          <w:rFonts w:hint="eastAsia"/>
          <w:color w:val="000000"/>
          <w:sz w:val="24"/>
          <w:szCs w:val="24"/>
          <w:lang w:val="en-US" w:eastAsia="zh-CN"/>
        </w:rPr>
        <w:t>于5月15日前，发送到邮箱1006552176@qq.com</w:t>
      </w:r>
    </w:p>
    <w:p>
      <w:pPr>
        <w:pStyle w:val="style0"/>
        <w:spacing w:lineRule="auto" w:line="360"/>
        <w:ind w:firstLine="482" w:firstLineChars="200"/>
        <w:rPr>
          <w:rFonts w:hint="eastAsia"/>
          <w:b/>
          <w:bCs/>
          <w:sz w:val="24"/>
          <w:szCs w:val="24"/>
        </w:rPr>
      </w:pPr>
      <w:r>
        <w:rPr>
          <w:rFonts w:hint="eastAsia"/>
          <w:b/>
          <w:bCs/>
          <w:sz w:val="24"/>
          <w:szCs w:val="24"/>
          <w:lang w:val="en-US" w:eastAsia="zh-CN"/>
        </w:rPr>
        <w:t>七</w:t>
      </w:r>
      <w:r>
        <w:rPr>
          <w:rFonts w:hint="eastAsia"/>
          <w:b/>
          <w:bCs/>
          <w:sz w:val="24"/>
          <w:szCs w:val="24"/>
        </w:rPr>
        <w:t>、复试内容、形式与成绩构成</w:t>
      </w:r>
    </w:p>
    <w:p>
      <w:pPr>
        <w:pStyle w:val="style0"/>
        <w:spacing w:lineRule="auto" w:line="360"/>
        <w:ind w:firstLine="480" w:firstLineChars="200"/>
        <w:rPr>
          <w:rFonts w:hint="eastAsia"/>
          <w:sz w:val="24"/>
          <w:szCs w:val="24"/>
        </w:rPr>
      </w:pPr>
      <w:r>
        <w:rPr>
          <w:rFonts w:hint="eastAsia"/>
          <w:sz w:val="24"/>
          <w:szCs w:val="24"/>
        </w:rPr>
        <w:t>复试内容主要包括外语测试、面试</w:t>
      </w:r>
      <w:r>
        <w:rPr>
          <w:rFonts w:hint="eastAsia"/>
          <w:sz w:val="24"/>
          <w:szCs w:val="24"/>
          <w:lang w:val="en-US" w:eastAsia="zh-CN"/>
        </w:rPr>
        <w:t>和</w:t>
      </w:r>
      <w:r>
        <w:rPr>
          <w:rFonts w:hint="eastAsia"/>
          <w:sz w:val="24"/>
          <w:szCs w:val="24"/>
        </w:rPr>
        <w:t>专业</w:t>
      </w:r>
      <w:r>
        <w:rPr>
          <w:rFonts w:hint="eastAsia"/>
          <w:sz w:val="24"/>
          <w:szCs w:val="24"/>
          <w:lang w:val="en-US" w:eastAsia="zh-CN"/>
        </w:rPr>
        <w:t>笔试</w:t>
      </w:r>
      <w:r>
        <w:rPr>
          <w:rFonts w:hint="eastAsia"/>
          <w:sz w:val="24"/>
          <w:szCs w:val="24"/>
        </w:rPr>
        <w:t>。同等学力</w:t>
      </w:r>
      <w:r>
        <w:rPr>
          <w:rFonts w:hint="eastAsia"/>
          <w:sz w:val="24"/>
          <w:szCs w:val="24"/>
          <w:lang w:val="en-US" w:eastAsia="zh-CN"/>
        </w:rPr>
        <w:t>考生，须</w:t>
      </w:r>
      <w:r>
        <w:rPr>
          <w:rFonts w:hint="eastAsia"/>
          <w:sz w:val="24"/>
          <w:szCs w:val="24"/>
        </w:rPr>
        <w:t>加试</w:t>
      </w:r>
      <w:r>
        <w:rPr>
          <w:rFonts w:hint="eastAsia"/>
          <w:sz w:val="24"/>
          <w:szCs w:val="24"/>
          <w:lang w:val="en-US" w:eastAsia="zh-CN"/>
        </w:rPr>
        <w:t>招生简章中列举的考试科目</w:t>
      </w:r>
      <w:r>
        <w:rPr>
          <w:rFonts w:hint="eastAsia"/>
          <w:sz w:val="24"/>
          <w:szCs w:val="24"/>
        </w:rPr>
        <w:t>。</w:t>
      </w:r>
    </w:p>
    <w:p>
      <w:pPr>
        <w:pStyle w:val="style0"/>
        <w:spacing w:lineRule="auto" w:line="360"/>
        <w:ind w:firstLine="480" w:firstLineChars="200"/>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外语测试</w:t>
      </w:r>
    </w:p>
    <w:p>
      <w:pPr>
        <w:pStyle w:val="style0"/>
        <w:spacing w:lineRule="auto" w:line="360"/>
        <w:ind w:firstLine="480" w:firstLineChars="200"/>
        <w:rPr>
          <w:rFonts w:hint="eastAsia"/>
          <w:sz w:val="24"/>
          <w:szCs w:val="24"/>
        </w:rPr>
      </w:pPr>
      <w:r>
        <w:rPr>
          <w:rFonts w:hint="eastAsia"/>
          <w:sz w:val="24"/>
          <w:szCs w:val="24"/>
        </w:rPr>
        <w:t>外语测试采取口</w:t>
      </w:r>
      <w:r>
        <w:rPr>
          <w:rFonts w:hint="eastAsia"/>
          <w:sz w:val="24"/>
          <w:szCs w:val="24"/>
          <w:lang w:val="en-US" w:eastAsia="zh-CN"/>
        </w:rPr>
        <w:t>试</w:t>
      </w:r>
      <w:r>
        <w:rPr>
          <w:rFonts w:hint="eastAsia"/>
          <w:sz w:val="24"/>
          <w:szCs w:val="24"/>
        </w:rPr>
        <w:t>的方式进行，</w:t>
      </w:r>
      <w:r>
        <w:rPr>
          <w:rFonts w:hint="eastAsia"/>
          <w:sz w:val="24"/>
          <w:szCs w:val="24"/>
          <w:lang w:val="en-US" w:eastAsia="zh-CN"/>
        </w:rPr>
        <w:t>满分20分，计入复试成绩</w:t>
      </w:r>
      <w:r>
        <w:rPr>
          <w:rFonts w:hint="eastAsia"/>
          <w:sz w:val="24"/>
          <w:szCs w:val="24"/>
        </w:rPr>
        <w:t>。</w:t>
      </w:r>
    </w:p>
    <w:p>
      <w:pPr>
        <w:pStyle w:val="style0"/>
        <w:spacing w:lineRule="auto" w:line="360"/>
        <w:ind w:firstLine="480" w:firstLineChars="200"/>
        <w:rPr>
          <w:rFonts w:hint="eastAsia"/>
          <w:sz w:val="24"/>
          <w:szCs w:val="24"/>
        </w:rPr>
      </w:pPr>
      <w:r>
        <w:rPr>
          <w:rFonts w:hint="eastAsia"/>
          <w:sz w:val="24"/>
          <w:szCs w:val="24"/>
          <w:lang w:val="en-US" w:eastAsia="zh-CN"/>
        </w:rPr>
        <w:t>（二）</w:t>
      </w:r>
      <w:r>
        <w:rPr>
          <w:rFonts w:hint="eastAsia"/>
          <w:sz w:val="24"/>
          <w:szCs w:val="24"/>
        </w:rPr>
        <w:t>面试</w:t>
      </w:r>
    </w:p>
    <w:p>
      <w:pPr>
        <w:pStyle w:val="style0"/>
        <w:spacing w:lineRule="auto" w:line="360"/>
        <w:ind w:firstLine="480" w:firstLineChars="200"/>
        <w:rPr>
          <w:rFonts w:hint="eastAsia"/>
          <w:sz w:val="24"/>
          <w:szCs w:val="24"/>
        </w:rPr>
      </w:pPr>
      <w:r>
        <w:rPr>
          <w:rFonts w:hint="eastAsia"/>
          <w:sz w:val="24"/>
          <w:szCs w:val="24"/>
        </w:rPr>
        <w:t>面试</w:t>
      </w:r>
      <w:r>
        <w:rPr>
          <w:rFonts w:hint="eastAsia"/>
          <w:sz w:val="24"/>
          <w:szCs w:val="24"/>
          <w:lang w:val="en-US" w:eastAsia="zh-CN"/>
        </w:rPr>
        <w:t>内容包括专业知识内容和综合能力，</w:t>
      </w:r>
      <w:r>
        <w:rPr>
          <w:rFonts w:hint="eastAsia"/>
          <w:sz w:val="24"/>
          <w:szCs w:val="24"/>
          <w:lang w:eastAsia="zh-CN"/>
        </w:rPr>
        <w:t>采取口试的方式进行</w:t>
      </w:r>
      <w:r>
        <w:rPr>
          <w:rFonts w:hint="eastAsia"/>
          <w:sz w:val="24"/>
          <w:szCs w:val="24"/>
        </w:rPr>
        <w:t>，</w:t>
      </w:r>
      <w:r>
        <w:rPr>
          <w:rFonts w:hint="eastAsia"/>
          <w:sz w:val="24"/>
          <w:szCs w:val="24"/>
          <w:lang w:val="en-US" w:eastAsia="zh-CN"/>
        </w:rPr>
        <w:t>满分40分，计入复试成绩</w:t>
      </w:r>
      <w:r>
        <w:rPr>
          <w:rFonts w:hint="eastAsia"/>
          <w:sz w:val="24"/>
          <w:szCs w:val="24"/>
        </w:rPr>
        <w:t>。</w:t>
      </w:r>
    </w:p>
    <w:p>
      <w:pPr>
        <w:pStyle w:val="style0"/>
        <w:numPr>
          <w:ilvl w:val="0"/>
          <w:numId w:val="0"/>
        </w:numPr>
        <w:spacing w:lineRule="auto" w:line="360"/>
        <w:ind w:firstLine="480" w:firstLineChars="200"/>
        <w:rPr>
          <w:rFonts w:hint="default"/>
          <w:sz w:val="24"/>
          <w:szCs w:val="24"/>
          <w:lang w:val="en-US"/>
        </w:rPr>
      </w:pPr>
      <w:r>
        <w:rPr>
          <w:rFonts w:hint="eastAsia"/>
          <w:sz w:val="24"/>
          <w:szCs w:val="24"/>
          <w:lang w:val="en-US" w:eastAsia="zh-CN"/>
        </w:rPr>
        <w:t>（三）</w:t>
      </w:r>
      <w:r>
        <w:rPr>
          <w:rFonts w:hint="eastAsia"/>
          <w:sz w:val="24"/>
          <w:szCs w:val="24"/>
        </w:rPr>
        <w:t>专业</w:t>
      </w:r>
      <w:r>
        <w:rPr>
          <w:rFonts w:hint="eastAsia"/>
          <w:sz w:val="24"/>
          <w:szCs w:val="24"/>
          <w:lang w:val="en-US" w:eastAsia="zh-CN"/>
        </w:rPr>
        <w:t>知识笔试</w:t>
      </w:r>
    </w:p>
    <w:p>
      <w:pPr>
        <w:pStyle w:val="style0"/>
        <w:numPr>
          <w:ilvl w:val="0"/>
          <w:numId w:val="0"/>
        </w:numPr>
        <w:spacing w:lineRule="auto" w:line="360"/>
        <w:ind w:firstLine="480" w:firstLineChars="200"/>
        <w:rPr>
          <w:rFonts w:hint="eastAsia"/>
          <w:sz w:val="24"/>
          <w:szCs w:val="24"/>
        </w:rPr>
      </w:pPr>
      <w:r>
        <w:rPr>
          <w:rFonts w:hint="eastAsia"/>
          <w:sz w:val="24"/>
          <w:szCs w:val="24"/>
          <w:lang w:val="en-US" w:eastAsia="zh-CN"/>
        </w:rPr>
        <w:t>专业知识笔试</w:t>
      </w:r>
      <w:r>
        <w:rPr>
          <w:rFonts w:hint="eastAsia"/>
          <w:sz w:val="24"/>
          <w:szCs w:val="24"/>
        </w:rPr>
        <w:t>内容为 2020 年专业目录中公布的“复试笔试科目”内容</w:t>
      </w:r>
      <w:r>
        <w:rPr>
          <w:rFonts w:hint="eastAsia"/>
          <w:sz w:val="24"/>
          <w:szCs w:val="24"/>
          <w:lang w:eastAsia="zh-CN"/>
        </w:rPr>
        <w:t>，</w:t>
      </w:r>
      <w:r>
        <w:rPr>
          <w:rFonts w:hint="eastAsia"/>
          <w:sz w:val="24"/>
          <w:szCs w:val="24"/>
        </w:rPr>
        <w:t>采取</w:t>
      </w:r>
      <w:r>
        <w:rPr>
          <w:rFonts w:hint="eastAsia"/>
          <w:sz w:val="24"/>
          <w:szCs w:val="24"/>
          <w:lang w:val="en-US" w:eastAsia="zh-CN"/>
        </w:rPr>
        <w:t>开卷考试</w:t>
      </w:r>
      <w:r>
        <w:rPr>
          <w:rFonts w:hint="eastAsia"/>
          <w:sz w:val="24"/>
          <w:szCs w:val="24"/>
        </w:rPr>
        <w:t>方式进行，</w:t>
      </w:r>
      <w:r>
        <w:rPr>
          <w:rFonts w:hint="eastAsia"/>
          <w:sz w:val="24"/>
          <w:szCs w:val="24"/>
          <w:lang w:val="en-US" w:eastAsia="zh-CN"/>
        </w:rPr>
        <w:t>不得复制抄袭，满分40分，</w:t>
      </w:r>
      <w:r>
        <w:rPr>
          <w:rFonts w:hint="eastAsia"/>
          <w:sz w:val="24"/>
          <w:szCs w:val="24"/>
        </w:rPr>
        <w:t>计入</w:t>
      </w:r>
      <w:r>
        <w:rPr>
          <w:rFonts w:hint="eastAsia"/>
          <w:sz w:val="24"/>
          <w:szCs w:val="24"/>
          <w:lang w:val="en-US" w:eastAsia="zh-CN"/>
        </w:rPr>
        <w:t>复试</w:t>
      </w:r>
      <w:r>
        <w:rPr>
          <w:rFonts w:hint="eastAsia"/>
          <w:sz w:val="24"/>
          <w:szCs w:val="24"/>
        </w:rPr>
        <w:t>成绩。</w:t>
      </w:r>
    </w:p>
    <w:p>
      <w:pPr>
        <w:pStyle w:val="style0"/>
        <w:spacing w:lineRule="auto" w:line="360"/>
        <w:ind w:firstLine="480" w:firstLineChars="200"/>
        <w:rPr>
          <w:rFonts w:hint="eastAsia"/>
          <w:sz w:val="24"/>
          <w:szCs w:val="24"/>
        </w:rPr>
      </w:pPr>
      <w:r>
        <w:rPr>
          <w:rFonts w:hint="eastAsia"/>
          <w:sz w:val="24"/>
          <w:szCs w:val="24"/>
        </w:rPr>
        <w:t>同等学力考生单独设置“同等学力加试”（此项考试仅同等学力考生设置），内容为 2020 年专业目录中公布的“同等学力加试科目”内容。采取</w:t>
      </w:r>
      <w:r>
        <w:rPr>
          <w:rFonts w:hint="eastAsia"/>
          <w:sz w:val="24"/>
          <w:szCs w:val="24"/>
          <w:lang w:val="en-US" w:eastAsia="zh-CN"/>
        </w:rPr>
        <w:t>开卷考试</w:t>
      </w:r>
      <w:r>
        <w:rPr>
          <w:rFonts w:hint="eastAsia"/>
          <w:sz w:val="24"/>
          <w:szCs w:val="24"/>
        </w:rPr>
        <w:t>方式进行，成绩以百分计</w:t>
      </w:r>
      <w:r>
        <w:rPr>
          <w:rFonts w:hint="default"/>
          <w:sz w:val="24"/>
          <w:szCs w:val="24"/>
          <w:lang w:val="en-US"/>
        </w:rPr>
        <w:t>(</w:t>
      </w:r>
      <w:r>
        <w:rPr>
          <w:rFonts w:hint="eastAsia"/>
          <w:sz w:val="24"/>
          <w:szCs w:val="24"/>
          <w:lang w:val="en-US" w:eastAsia="zh-CN"/>
        </w:rPr>
        <w:t>低于六十分不予录取</w:t>
      </w:r>
      <w:r>
        <w:rPr>
          <w:rFonts w:hint="default"/>
          <w:sz w:val="24"/>
          <w:szCs w:val="24"/>
          <w:lang w:val="en-US"/>
        </w:rPr>
        <w:t>)</w:t>
      </w:r>
      <w:r>
        <w:rPr>
          <w:rFonts w:hint="eastAsia"/>
          <w:sz w:val="24"/>
          <w:szCs w:val="24"/>
        </w:rPr>
        <w:t>。同等学力加试属于资格考试，不计入总成绩。</w:t>
      </w:r>
    </w:p>
    <w:p>
      <w:pPr>
        <w:pStyle w:val="style0"/>
        <w:spacing w:lineRule="auto" w:line="360"/>
        <w:ind w:firstLine="480" w:firstLineChars="200"/>
        <w:rPr>
          <w:rFonts w:hint="eastAsia"/>
          <w:sz w:val="24"/>
          <w:szCs w:val="24"/>
        </w:rPr>
      </w:pP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sz w:val="24"/>
          <w:szCs w:val="24"/>
        </w:rPr>
        <w:t>成绩构成</w:t>
      </w:r>
    </w:p>
    <w:p>
      <w:pPr>
        <w:pStyle w:val="style0"/>
        <w:spacing w:lineRule="auto" w:line="360"/>
        <w:ind w:firstLine="480" w:firstLineChars="200"/>
        <w:rPr>
          <w:rFonts w:hint="eastAsia"/>
          <w:sz w:val="24"/>
          <w:szCs w:val="24"/>
        </w:rPr>
      </w:pPr>
      <w:r>
        <w:rPr>
          <w:rFonts w:hint="eastAsia"/>
          <w:sz w:val="24"/>
          <w:szCs w:val="24"/>
        </w:rPr>
        <w:t>考生最终总成绩包括初试成绩和复试成绩，两者按权重相加，得出最终总成绩。复试成绩占最终总成绩权重的 30%。</w:t>
      </w:r>
    </w:p>
    <w:p>
      <w:pPr>
        <w:pStyle w:val="style0"/>
        <w:spacing w:lineRule="auto" w:line="360"/>
        <w:ind w:firstLine="480" w:firstLineChars="200"/>
        <w:rPr>
          <w:rFonts w:hint="eastAsia"/>
          <w:sz w:val="24"/>
          <w:szCs w:val="24"/>
        </w:rPr>
      </w:pPr>
      <w:r>
        <w:rPr>
          <w:rFonts w:hint="eastAsia"/>
          <w:sz w:val="24"/>
          <w:szCs w:val="24"/>
        </w:rPr>
        <w:t>最终总成绩＝（初试总成绩÷5）×70%＋</w:t>
      </w:r>
      <w:r>
        <w:rPr>
          <w:rFonts w:hint="eastAsia"/>
          <w:sz w:val="24"/>
          <w:szCs w:val="24"/>
          <w:lang w:val="en-US" w:eastAsia="zh-CN"/>
        </w:rPr>
        <w:t>复试成绩</w:t>
      </w:r>
      <w:r>
        <w:rPr>
          <w:rFonts w:hint="eastAsia"/>
          <w:sz w:val="24"/>
          <w:szCs w:val="24"/>
        </w:rPr>
        <w:t>×30%</w:t>
      </w:r>
    </w:p>
    <w:p>
      <w:pPr>
        <w:pStyle w:val="style0"/>
        <w:spacing w:lineRule="auto" w:line="360"/>
        <w:ind w:firstLine="482" w:firstLineChars="200"/>
        <w:rPr>
          <w:rFonts w:hint="eastAsia"/>
          <w:b/>
          <w:bCs/>
          <w:sz w:val="24"/>
          <w:szCs w:val="24"/>
        </w:rPr>
      </w:pPr>
      <w:r>
        <w:rPr>
          <w:rFonts w:hint="eastAsia"/>
          <w:b/>
          <w:bCs/>
          <w:sz w:val="24"/>
          <w:szCs w:val="24"/>
          <w:lang w:val="en-US" w:eastAsia="zh-CN"/>
        </w:rPr>
        <w:t>八</w:t>
      </w:r>
      <w:r>
        <w:rPr>
          <w:rFonts w:hint="eastAsia"/>
          <w:b/>
          <w:bCs/>
          <w:sz w:val="24"/>
          <w:szCs w:val="24"/>
        </w:rPr>
        <w:t>、复试的信息公开、监督、复议</w:t>
      </w:r>
    </w:p>
    <w:p>
      <w:pPr>
        <w:pStyle w:val="style0"/>
        <w:spacing w:lineRule="auto" w:line="360"/>
        <w:ind w:firstLine="480" w:firstLineChars="200"/>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 xml:space="preserve">信息公开。复试分数线、复试名单、招生计划等均及时在学院官网公示。 </w:t>
      </w:r>
    </w:p>
    <w:p>
      <w:pPr>
        <w:pStyle w:val="style0"/>
        <w:spacing w:lineRule="auto" w:line="360"/>
        <w:ind w:firstLine="480" w:firstLineChars="200"/>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监督。学院所有研究生复试相关工作安排均经过本单位研究生招生工作领导小组</w:t>
      </w:r>
      <w:r>
        <w:rPr>
          <w:rFonts w:hint="eastAsia"/>
          <w:sz w:val="24"/>
          <w:szCs w:val="24"/>
          <w:lang w:val="en-US" w:eastAsia="zh-CN"/>
        </w:rPr>
        <w:t>和监督小组</w:t>
      </w:r>
      <w:r>
        <w:rPr>
          <w:rFonts w:hint="eastAsia"/>
          <w:sz w:val="24"/>
          <w:szCs w:val="24"/>
        </w:rPr>
        <w:t>讨论确定</w:t>
      </w:r>
      <w:r>
        <w:rPr>
          <w:rFonts w:hint="eastAsia"/>
          <w:sz w:val="24"/>
          <w:szCs w:val="24"/>
          <w:lang w:eastAsia="zh-CN"/>
        </w:rPr>
        <w:t>。</w:t>
      </w:r>
      <w:r>
        <w:rPr>
          <w:rFonts w:hint="eastAsia"/>
          <w:sz w:val="24"/>
          <w:szCs w:val="24"/>
        </w:rPr>
        <w:t>复试期间，监督小组督导各学科专业复试情况。</w:t>
      </w:r>
    </w:p>
    <w:p>
      <w:pPr>
        <w:pStyle w:val="style0"/>
        <w:spacing w:lineRule="auto" w:line="360"/>
        <w:ind w:firstLine="480" w:firstLineChars="200"/>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申诉及复议。如对复试相关问题有异议，请以纸质形式提出复议，由学院研究生招生工作领导小组进行复议。</w:t>
      </w:r>
    </w:p>
    <w:p>
      <w:pPr>
        <w:pStyle w:val="style0"/>
        <w:spacing w:lineRule="auto" w:line="360"/>
        <w:ind w:firstLine="480" w:firstLineChars="200"/>
        <w:rPr>
          <w:rFonts w:hint="eastAsia"/>
          <w:sz w:val="24"/>
          <w:szCs w:val="24"/>
        </w:rPr>
      </w:pPr>
      <w:r>
        <w:rPr>
          <w:rFonts w:hint="eastAsia"/>
          <w:sz w:val="24"/>
          <w:szCs w:val="24"/>
        </w:rPr>
        <w:t>监督电话：0371-</w:t>
      </w:r>
      <w:r>
        <w:rPr>
          <w:rFonts w:hint="eastAsia"/>
          <w:sz w:val="24"/>
          <w:szCs w:val="24"/>
          <w:lang w:val="en-US" w:eastAsia="zh-CN"/>
        </w:rPr>
        <w:t>56990083</w:t>
      </w:r>
      <w:r>
        <w:rPr>
          <w:rFonts w:hint="eastAsia"/>
          <w:sz w:val="24"/>
          <w:szCs w:val="24"/>
        </w:rPr>
        <w:t>，监督邮箱：</w:t>
      </w:r>
      <w:r>
        <w:rPr>
          <w:rFonts w:hint="eastAsia"/>
          <w:sz w:val="24"/>
          <w:szCs w:val="24"/>
          <w:lang w:val="en-US" w:eastAsia="zh-CN"/>
        </w:rPr>
        <w:t>340088775@qq.com</w:t>
      </w:r>
      <w:r>
        <w:rPr>
          <w:rFonts w:hint="eastAsia"/>
          <w:sz w:val="24"/>
          <w:szCs w:val="24"/>
        </w:rPr>
        <w:t>。</w:t>
      </w:r>
    </w:p>
    <w:p>
      <w:pPr>
        <w:pStyle w:val="style0"/>
        <w:spacing w:lineRule="auto" w:line="360"/>
        <w:rPr>
          <w:rFonts w:hint="eastAsia"/>
          <w:sz w:val="24"/>
          <w:szCs w:val="24"/>
        </w:rPr>
      </w:pPr>
    </w:p>
    <w:p>
      <w:pPr>
        <w:pStyle w:val="style0"/>
        <w:spacing w:lineRule="auto" w:line="360"/>
        <w:ind w:firstLine="3840" w:firstLineChars="1600"/>
        <w:rPr>
          <w:rFonts w:hint="eastAsia"/>
          <w:sz w:val="24"/>
          <w:szCs w:val="24"/>
        </w:rPr>
      </w:pPr>
      <w:r>
        <w:rPr>
          <w:rFonts w:hint="eastAsia"/>
          <w:sz w:val="24"/>
          <w:szCs w:val="24"/>
          <w:lang w:val="en-US" w:eastAsia="zh-CN"/>
        </w:rPr>
        <w:t>文法</w:t>
      </w:r>
      <w:r>
        <w:rPr>
          <w:rFonts w:hint="eastAsia"/>
          <w:sz w:val="24"/>
          <w:szCs w:val="24"/>
        </w:rPr>
        <w:t>学院</w:t>
      </w:r>
    </w:p>
    <w:p>
      <w:pPr>
        <w:pStyle w:val="style0"/>
        <w:spacing w:lineRule="auto" w:line="360"/>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2020 年 5 月</w:t>
      </w:r>
      <w:r>
        <w:rPr>
          <w:rFonts w:hint="eastAsia"/>
          <w:sz w:val="24"/>
          <w:szCs w:val="24"/>
          <w:lang w:val="en-US" w:eastAsia="zh-CN"/>
        </w:rPr>
        <w:t>13</w:t>
      </w:r>
      <w:r>
        <w:rPr>
          <w:rFonts w:hint="eastAsia"/>
          <w:sz w:val="24"/>
          <w:szCs w:val="24"/>
        </w:rPr>
        <w:t>日</w:t>
      </w:r>
    </w:p>
    <w:p>
      <w:pPr>
        <w:pStyle w:val="style0"/>
        <w:spacing w:lineRule="auto" w:line="360"/>
        <w:rPr>
          <w:rFonts w:hint="eastAsia"/>
          <w:sz w:val="24"/>
          <w:szCs w:val="24"/>
        </w:rPr>
      </w:pPr>
    </w:p>
    <w:p>
      <w:pPr>
        <w:pStyle w:val="style0"/>
        <w:spacing w:lineRule="auto" w:line="360"/>
        <w:rPr>
          <w:rFonts w:hint="eastAsia"/>
          <w:sz w:val="24"/>
          <w:szCs w:val="24"/>
        </w:rPr>
      </w:pPr>
    </w:p>
    <w:bookmarkStart w:id="0" w:name="_GoBack"/>
    <w:bookmarkEnd w:id="0"/>
    <w:p>
      <w:pPr>
        <w:pStyle w:val="style0"/>
        <w:spacing w:lineRule="auto" w:line="360"/>
        <w:rPr>
          <w:rFonts w:hint="eastAsia"/>
          <w:sz w:val="24"/>
          <w:szCs w:val="24"/>
        </w:rPr>
      </w:pPr>
    </w:p>
    <w:p>
      <w:pPr>
        <w:pStyle w:val="style0"/>
        <w:spacing w:lineRule="auto" w:line="360"/>
        <w:rPr>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Cambria"/>
    <w:panose1 w:val="02040503050004030204"/>
    <w:charset w:val="00"/>
    <w:family w:val="roman"/>
    <w:pitch w:val="default"/>
    <w:sig w:usb0="E00006FF" w:usb1="420024FF" w:usb2="02000000" w:usb3="00000000" w:csb0="2000019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link w:val="style4100"/>
    <w:qFormat/>
    <w:uiPriority w:val="0"/>
    <w:pPr>
      <w:keepNext/>
      <w:keepLines/>
      <w:snapToGrid w:val="false"/>
      <w:spacing w:lineRule="auto" w:line="360"/>
      <w:outlineLvl w:val="0"/>
    </w:pPr>
    <w:rPr>
      <w:rFonts w:ascii="Times New Roman" w:cs="Times New Roman" w:eastAsia="黑体" w:hAnsi="Times New Roman"/>
      <w:bCs/>
      <w:kern w:val="44"/>
      <w:sz w:val="28"/>
      <w:szCs w:val="44"/>
    </w:rPr>
  </w:style>
  <w:style w:type="paragraph" w:styleId="style2">
    <w:name w:val="heading 2"/>
    <w:basedOn w:val="style0"/>
    <w:next w:val="style0"/>
    <w:link w:val="style4099"/>
    <w:qFormat/>
    <w:uiPriority w:val="0"/>
    <w:pPr>
      <w:keepNext/>
      <w:keepLines/>
      <w:spacing w:before="100" w:beforeLines="100" w:after="100" w:afterLines="100" w:lineRule="auto" w:line="360"/>
      <w:outlineLvl w:val="1"/>
    </w:pPr>
    <w:rPr>
      <w:rFonts w:ascii="Cambria" w:cs="Times New Roman" w:eastAsia="黑体" w:hAnsi="Cambria"/>
      <w:bCs/>
      <w:sz w:val="24"/>
      <w:szCs w:val="32"/>
    </w:rPr>
  </w:style>
  <w:style w:type="paragraph" w:styleId="style3">
    <w:name w:val="heading 3"/>
    <w:basedOn w:val="style0"/>
    <w:next w:val="style0"/>
    <w:link w:val="style4098"/>
    <w:qFormat/>
    <w:uiPriority w:val="0"/>
    <w:pPr>
      <w:keepNext/>
      <w:keepLines/>
      <w:snapToGrid w:val="false"/>
      <w:spacing w:lineRule="exact" w:line="400"/>
      <w:outlineLvl w:val="2"/>
    </w:pPr>
    <w:rPr>
      <w:rFonts w:ascii="Times New Roman" w:cs="Times New Roman" w:eastAsia="黑体" w:hAnsi="Times New Roman"/>
      <w:bCs/>
      <w:sz w:val="21"/>
      <w:szCs w:val="32"/>
    </w:rPr>
  </w:style>
  <w:style w:type="character" w:default="1" w:styleId="style65">
    <w:name w:val="Default Paragraph Font"/>
    <w:next w:val="style65"/>
    <w:qFormat/>
    <w:uiPriority w:val="1"/>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1">
    <w:name w:val="toc 3"/>
    <w:basedOn w:val="style0"/>
    <w:next w:val="style0"/>
    <w:qFormat/>
    <w:uiPriority w:val="0"/>
    <w:pPr>
      <w:ind w:left="640" w:leftChars="200"/>
    </w:pPr>
    <w:rPr>
      <w:rFonts w:ascii="Times New Roman" w:cs="Times New Roman" w:eastAsia="黑体" w:hAnsi="Times New Roman"/>
      <w:sz w:val="21"/>
      <w:szCs w:val="20"/>
    </w:rPr>
  </w:style>
  <w:style w:type="paragraph" w:styleId="style19">
    <w:name w:val="toc 1"/>
    <w:basedOn w:val="style0"/>
    <w:next w:val="style0"/>
    <w:link w:val="style4097"/>
    <w:qFormat/>
    <w:uiPriority w:val="0"/>
    <w:pPr>
      <w:spacing w:before="50" w:beforeLines="50" w:after="50" w:afterLines="50"/>
      <w:ind w:left="0" w:leftChars="0"/>
    </w:pPr>
    <w:rPr>
      <w:rFonts w:ascii="Times New Roman" w:cs="Times New Roman" w:eastAsia="黑体" w:hAnsi="Times New Roman"/>
      <w:kern w:val="0"/>
      <w:sz w:val="28"/>
    </w:rPr>
  </w:style>
  <w:style w:type="paragraph" w:styleId="style20">
    <w:name w:val="toc 2"/>
    <w:basedOn w:val="style0"/>
    <w:next w:val="style0"/>
    <w:qFormat/>
    <w:uiPriority w:val="0"/>
    <w:pPr>
      <w:spacing w:before="100" w:beforeLines="100" w:after="100" w:afterLines="100" w:lineRule="exact" w:line="400"/>
      <w:ind w:left="0" w:leftChars="0" w:firstLine="420" w:firstLineChars="200"/>
    </w:pPr>
    <w:rPr>
      <w:rFonts w:ascii="Times New Roman" w:cs="Times New Roman" w:eastAsia="黑体" w:hAnsi="Times New Roman"/>
      <w:sz w:val="24"/>
      <w:szCs w:val="20"/>
    </w:rPr>
  </w:style>
  <w:style w:type="character" w:styleId="style85">
    <w:name w:val="Hyperlink"/>
    <w:basedOn w:val="style65"/>
    <w:next w:val="style85"/>
    <w:qFormat/>
    <w:uiPriority w:val="0"/>
    <w:rPr>
      <w:color w:val="0000ff"/>
      <w:u w:val="single"/>
    </w:rPr>
  </w:style>
  <w:style w:type="character" w:customStyle="1" w:styleId="style4097">
    <w:name w:val="目录 1 Char"/>
    <w:next w:val="style4097"/>
    <w:link w:val="style19"/>
    <w:qFormat/>
    <w:uiPriority w:val="99"/>
    <w:rPr>
      <w:rFonts w:ascii="Times New Roman" w:cs="Times New Roman" w:eastAsia="黑体" w:hAnsi="Times New Roman"/>
      <w:sz w:val="28"/>
    </w:rPr>
  </w:style>
  <w:style w:type="character" w:customStyle="1" w:styleId="style4098">
    <w:name w:val="Heading 3 Char_259b0b11-8b14-4d7d-b4aa-68e987f3d2fc"/>
    <w:basedOn w:val="style65"/>
    <w:next w:val="style4098"/>
    <w:link w:val="style3"/>
    <w:qFormat/>
    <w:uiPriority w:val="99"/>
    <w:rPr>
      <w:rFonts w:ascii="Times New Roman" w:cs="Times New Roman" w:eastAsia="黑体" w:hAnsi="Times New Roman"/>
      <w:b/>
      <w:bCs/>
      <w:sz w:val="21"/>
      <w:szCs w:val="32"/>
    </w:rPr>
  </w:style>
  <w:style w:type="character" w:customStyle="1" w:styleId="style4099">
    <w:name w:val="标题 2 Char"/>
    <w:basedOn w:val="style65"/>
    <w:next w:val="style4099"/>
    <w:link w:val="style2"/>
    <w:qFormat/>
    <w:uiPriority w:val="99"/>
    <w:rPr>
      <w:rFonts w:ascii="Cambria" w:cs="Times New Roman" w:eastAsia="黑体" w:hAnsi="Cambria"/>
      <w:bCs/>
      <w:sz w:val="24"/>
      <w:szCs w:val="32"/>
    </w:rPr>
  </w:style>
  <w:style w:type="character" w:customStyle="1" w:styleId="style4100">
    <w:name w:val="标题 1 Char"/>
    <w:basedOn w:val="style65"/>
    <w:next w:val="style4100"/>
    <w:link w:val="style1"/>
    <w:qFormat/>
    <w:uiPriority w:val="99"/>
    <w:rPr>
      <w:rFonts w:ascii="Times New Roman" w:cs="Times New Roman" w:eastAsia="黑体" w:hAnsi="Times New Roman"/>
      <w:bCs/>
      <w:kern w:val="44"/>
      <w:sz w:val="28"/>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Words>1473</Words>
  <Pages>1</Pages>
  <Characters>1659</Characters>
  <Application>WPS Office</Application>
  <DocSecurity>0</DocSecurity>
  <Paragraphs>106</Paragraphs>
  <ScaleCrop>false</ScaleCrop>
  <Company>Kingsoft</Company>
  <LinksUpToDate>false</LinksUpToDate>
  <CharactersWithSpaces>1704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张帅梁</dc:creator>
  <lastModifiedBy>PACM00</lastModifiedBy>
  <dcterms:modified xsi:type="dcterms:W3CDTF">2020-05-19T11:01:50Z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